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jc w:val="center"/>
      </w:pPr>
      <w:r>
        <w:rPr/>
        <w:t>UNIVERSIDADE FEDERAL DE SANTA CATARINA</w:t>
      </w:r>
    </w:p>
    <w:p>
      <w:pPr>
        <w:pStyle w:val="style0"/>
        <w:jc w:val="center"/>
      </w:pPr>
      <w:r>
        <w:rPr>
          <w:rFonts w:ascii="Times New Roman" w:hAnsi="Times New Roman"/>
          <w:b/>
          <w:sz w:val="24"/>
        </w:rPr>
        <w:t>CENTRO TECNOLÓGICO</w:t>
      </w:r>
    </w:p>
    <w:p>
      <w:pPr>
        <w:pStyle w:val="style0"/>
        <w:jc w:val="center"/>
      </w:pPr>
      <w:r>
        <w:rPr>
          <w:rFonts w:ascii="Times New Roman" w:hAnsi="Times New Roman"/>
          <w:b/>
          <w:sz w:val="24"/>
        </w:rPr>
        <w:t>DEPARTAMENTO DE ENGENHARIA DE PRODUÇÃO E SISTEMAS</w:t>
      </w:r>
    </w:p>
    <w:p>
      <w:pPr>
        <w:pStyle w:val="style0"/>
        <w:jc w:val="both"/>
      </w:pPr>
      <w:r>
        <w:rPr/>
      </w:r>
    </w:p>
    <w:p>
      <w:pPr>
        <w:pStyle w:val="style1"/>
        <w:jc w:val="center"/>
      </w:pPr>
      <w:r>
        <w:rPr/>
      </w:r>
    </w:p>
    <w:p>
      <w:pPr>
        <w:pStyle w:val="style1"/>
        <w:jc w:val="center"/>
      </w:pPr>
      <w:r>
        <w:rPr>
          <w:u w:val="single"/>
        </w:rPr>
        <w:t>PLANO DE ENSINO</w:t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Times New Roman" w:hAnsi="Times New Roman"/>
          <w:b/>
          <w:sz w:val="24"/>
        </w:rPr>
        <w:t>1. IDENTIFICAÇÃO DA DISCIPLINA</w:t>
      </w:r>
    </w:p>
    <w:p>
      <w:pPr>
        <w:pStyle w:val="style0"/>
      </w:pPr>
      <w:r>
        <w:rPr>
          <w:rFonts w:ascii="Times New Roman" w:hAnsi="Times New Roman"/>
          <w:b/>
          <w:sz w:val="24"/>
        </w:rPr>
        <w:t xml:space="preserve">Código: </w:t>
      </w:r>
      <w:r>
        <w:rPr>
          <w:rFonts w:ascii="Times New Roman" w:hAnsi="Times New Roman"/>
          <w:sz w:val="24"/>
        </w:rPr>
        <w:t>EPS 7018</w:t>
        <w:tab/>
      </w:r>
      <w:r>
        <w:rPr>
          <w:rFonts w:ascii="Times New Roman" w:hAnsi="Times New Roman"/>
          <w:b/>
          <w:sz w:val="24"/>
        </w:rPr>
        <w:t>Nome:</w:t>
      </w:r>
      <w:r>
        <w:rPr>
          <w:rFonts w:ascii="Times New Roman" w:hAnsi="Times New Roman"/>
          <w:sz w:val="24"/>
        </w:rPr>
        <w:t xml:space="preserve"> Análise Gerencial de Custos</w:t>
        <w:tab/>
        <w:tab/>
      </w:r>
      <w:r>
        <w:rPr>
          <w:rFonts w:ascii="Times New Roman" w:hAnsi="Times New Roman"/>
          <w:b/>
          <w:sz w:val="24"/>
        </w:rPr>
        <w:t>Horas/Aula:</w:t>
      </w:r>
      <w:r>
        <w:rPr>
          <w:rFonts w:ascii="Times New Roman" w:hAnsi="Times New Roman"/>
          <w:sz w:val="24"/>
        </w:rPr>
        <w:t xml:space="preserve"> 54</w:t>
      </w:r>
    </w:p>
    <w:p>
      <w:pPr>
        <w:pStyle w:val="style0"/>
        <w:jc w:val="both"/>
      </w:pPr>
      <w:r>
        <w:rPr>
          <w:rFonts w:ascii="Times New Roman" w:hAnsi="Times New Roman"/>
          <w:b/>
          <w:sz w:val="24"/>
        </w:rPr>
        <w:t>Professores:</w:t>
      </w:r>
      <w:r>
        <w:rPr>
          <w:rFonts w:ascii="Times New Roman" w:hAnsi="Times New Roman"/>
          <w:sz w:val="24"/>
        </w:rPr>
        <w:t xml:space="preserve"> Antonio Cezar Bornia 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Times New Roman" w:hAnsi="Times New Roman"/>
          <w:b/>
          <w:sz w:val="24"/>
        </w:rPr>
        <w:t>2.EMENTA</w:t>
      </w:r>
    </w:p>
    <w:p>
      <w:pPr>
        <w:pStyle w:val="style0"/>
        <w:ind w:hanging="0" w:left="510" w:right="0"/>
        <w:jc w:val="both"/>
      </w:pPr>
      <w:r>
        <w:rPr>
          <w:rFonts w:ascii="Times New Roman" w:hAnsi="Times New Roman"/>
          <w:sz w:val="24"/>
        </w:rPr>
        <w:t>Princípios e métodos de custos. Análise de custo-volume-lucro. Custo padrão. Método dos centros de custos. Custeio baseado em atividades (ABC). Método da unidade de esforço de produção (UEP). Gestão por atividades (ABM).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Times New Roman" w:hAnsi="Times New Roman"/>
          <w:b/>
          <w:sz w:val="24"/>
        </w:rPr>
        <w:t>2.OBJETIVOS</w:t>
      </w:r>
    </w:p>
    <w:p>
      <w:pPr>
        <w:pStyle w:val="style0"/>
        <w:jc w:val="both"/>
      </w:pPr>
      <w:r>
        <w:rPr/>
      </w:r>
    </w:p>
    <w:p>
      <w:pPr>
        <w:pStyle w:val="style0"/>
        <w:spacing w:after="120" w:before="0"/>
        <w:ind w:hanging="510" w:left="510" w:right="0"/>
        <w:contextualSpacing w:val="false"/>
        <w:jc w:val="both"/>
      </w:pPr>
      <w:r>
        <w:rPr>
          <w:rFonts w:ascii="Times New Roman" w:hAnsi="Times New Roman"/>
          <w:b/>
          <w:sz w:val="24"/>
        </w:rPr>
        <w:t>2.1. Objetivo Geral</w:t>
      </w:r>
    </w:p>
    <w:p>
      <w:pPr>
        <w:pStyle w:val="style0"/>
        <w:ind w:hanging="0" w:left="510" w:right="0"/>
        <w:jc w:val="both"/>
      </w:pPr>
      <w:r>
        <w:rPr>
          <w:rFonts w:ascii="Times New Roman" w:hAnsi="Times New Roman"/>
          <w:sz w:val="24"/>
        </w:rPr>
        <w:t>Ao final do curso, o aluno deverá compreender os conceitos básicos de gestão de custos e utilizá-los para auxiliar ações gerenciais.</w:t>
      </w:r>
    </w:p>
    <w:p>
      <w:pPr>
        <w:pStyle w:val="style0"/>
        <w:ind w:hanging="510" w:left="510" w:right="0"/>
        <w:jc w:val="both"/>
      </w:pPr>
      <w:r>
        <w:rPr/>
      </w:r>
    </w:p>
    <w:p>
      <w:pPr>
        <w:pStyle w:val="style0"/>
        <w:spacing w:after="120" w:before="0"/>
        <w:ind w:hanging="510" w:left="510" w:right="0"/>
        <w:contextualSpacing w:val="false"/>
        <w:jc w:val="both"/>
      </w:pPr>
      <w:r>
        <w:rPr>
          <w:rFonts w:ascii="Times New Roman" w:hAnsi="Times New Roman"/>
          <w:b/>
          <w:sz w:val="24"/>
        </w:rPr>
        <w:t>2.2. Objetivos Específicos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Compreender as classificações de custos;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Usar custos como apoio à tomada de decisões;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Usar os conceitos de custos como apoio ao controle gerencial;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>Conhecer os princípios e métodos de custos.</w:t>
      </w:r>
    </w:p>
    <w:p>
      <w:pPr>
        <w:pStyle w:val="style0"/>
        <w:jc w:val="both"/>
      </w:pPr>
      <w:r>
        <w:rPr/>
      </w:r>
    </w:p>
    <w:p>
      <w:pPr>
        <w:pStyle w:val="style0"/>
        <w:spacing w:after="120" w:before="0"/>
        <w:ind w:hanging="510" w:left="510" w:right="0"/>
        <w:contextualSpacing w:val="false"/>
        <w:jc w:val="both"/>
      </w:pPr>
      <w:r>
        <w:rPr>
          <w:rFonts w:ascii="Times New Roman" w:hAnsi="Times New Roman"/>
          <w:b/>
          <w:sz w:val="24"/>
        </w:rPr>
        <w:t>3.CONTEÚDO PROGRAMÁTICO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01. Conceitos Básicos (gasto, custo de fabricação, perda, desperdício, custo gerencial, custos fixos e variáveis, custos diretos e indiretos) – 9h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02. Princípios de Custeio (custeio por absorção integral, custeio variável e custeio por absorção ideal) – 7h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03. Análise de Custo-Volume-Lucro (margem de contribuição, pontos de equilíbrio contábil, econômico e financeiro) – 6h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04. Custo Padrão (custos de Matéria-Prima, determinação das variações de preço e quantidade) – 5h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05. Método dos Centros de Custos. (9h)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06. Custeio Baseado em Atividades (ABC) e Gestão por Atividades (ABM). (9h)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>07. Método das Unidades de Esforço de Produção (UEP). (9h)</w:t>
      </w:r>
    </w:p>
    <w:p>
      <w:pPr>
        <w:pStyle w:val="style0"/>
        <w:jc w:val="both"/>
      </w:pPr>
      <w:r>
        <w:rPr/>
      </w:r>
    </w:p>
    <w:p>
      <w:pPr>
        <w:pStyle w:val="style0"/>
        <w:spacing w:after="120" w:before="0"/>
        <w:ind w:hanging="510" w:left="510" w:right="0"/>
        <w:contextualSpacing w:val="false"/>
        <w:jc w:val="both"/>
      </w:pPr>
      <w:r>
        <w:rPr>
          <w:rFonts w:ascii="Times New Roman" w:hAnsi="Times New Roman"/>
          <w:b/>
          <w:bCs/>
          <w:sz w:val="24"/>
        </w:rPr>
        <w:t>4. CRONOGRAMA</w:t>
      </w:r>
    </w:p>
    <w:p>
      <w:pPr>
        <w:pStyle w:val="style0"/>
        <w:jc w:val="both"/>
      </w:pPr>
      <w:r>
        <w:rPr>
          <w:rFonts w:ascii="Times New Roman" w:hAnsi="Times New Roman"/>
          <w:sz w:val="24"/>
        </w:rPr>
        <w:tab/>
        <w:t>Em anexo.</w:t>
      </w:r>
    </w:p>
    <w:p>
      <w:pPr>
        <w:pStyle w:val="style0"/>
        <w:jc w:val="both"/>
      </w:pPr>
      <w:r>
        <w:rPr/>
      </w:r>
    </w:p>
    <w:p>
      <w:pPr>
        <w:pStyle w:val="style0"/>
        <w:spacing w:after="120" w:before="0"/>
        <w:ind w:hanging="510" w:left="510" w:right="0"/>
        <w:contextualSpacing w:val="false"/>
        <w:jc w:val="both"/>
      </w:pPr>
      <w:r>
        <w:rPr>
          <w:rFonts w:ascii="Times New Roman" w:hAnsi="Times New Roman"/>
          <w:b/>
          <w:bCs/>
          <w:sz w:val="24"/>
        </w:rPr>
        <w:t>5. METODOLOGIA</w:t>
      </w:r>
    </w:p>
    <w:p>
      <w:pPr>
        <w:pStyle w:val="style24"/>
        <w:jc w:val="both"/>
      </w:pPr>
      <w:r>
        <w:rPr>
          <w:b/>
          <w:bCs/>
          <w:sz w:val="24"/>
        </w:rPr>
        <w:tab/>
      </w:r>
      <w:r>
        <w:rPr>
          <w:sz w:val="24"/>
          <w:szCs w:val="20"/>
          <w:lang w:val="pt-PT"/>
        </w:rPr>
        <w:t>Aula Expositiva, com a participação dos alunos por meio de exercícios a serem resolvidos em sala de aula e em casa, além da apresentação de trabalhos práticos.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rFonts w:ascii="Times New Roman" w:hAnsi="Times New Roman"/>
          <w:b/>
          <w:sz w:val="24"/>
        </w:rPr>
        <w:t>6. AVALIAÇÃO</w:t>
      </w:r>
    </w:p>
    <w:p>
      <w:pPr>
        <w:pStyle w:val="style0"/>
        <w:jc w:val="both"/>
      </w:pPr>
      <w:r>
        <w:rPr/>
      </w:r>
    </w:p>
    <w:tbl>
      <w:tblPr>
        <w:jc w:val="left"/>
        <w:tblInd w:type="dxa" w:w="1330"/>
        <w:tblBorders>
          <w:top w:color="00000A" w:space="0" w:sz="6" w:val="single"/>
          <w:left w:color="00000A" w:space="0" w:sz="6" w:val="single"/>
          <w:bottom w:color="00000A" w:space="0" w:sz="6" w:val="double"/>
          <w:insideH w:color="00000A" w:space="0" w:sz="6" w:val="double"/>
          <w:right w:val="none"/>
          <w:insideV w:val="none"/>
        </w:tblBorders>
        <w:tblCellMar>
          <w:top w:type="dxa" w:w="0"/>
          <w:left w:type="dxa" w:w="53"/>
          <w:bottom w:type="dxa" w:w="0"/>
          <w:right w:type="dxa" w:w="70"/>
        </w:tblCellMar>
      </w:tblPr>
      <w:tblGrid>
        <w:gridCol w:w="4252"/>
        <w:gridCol w:w="2086"/>
      </w:tblGrid>
      <w:tr>
        <w:trPr>
          <w:cantSplit w:val="false"/>
        </w:trPr>
        <w:tc>
          <w:tcPr>
            <w:tcW w:type="dxa" w:w="4252"/>
            <w:tcBorders>
              <w:top w:color="00000A" w:space="0" w:sz="6" w:val="single"/>
              <w:left w:color="00000A" w:space="0" w:sz="6" w:val="single"/>
              <w:bottom w:color="00000A" w:space="0" w:sz="6" w:val="double"/>
              <w:right w:val="none"/>
            </w:tcBorders>
            <w:shd w:fill="E5E5E5" w:val="clear"/>
            <w:tcMar>
              <w:left w:type="dxa" w:w="53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ATIVIDADE</w:t>
            </w:r>
          </w:p>
        </w:tc>
        <w:tc>
          <w:tcPr>
            <w:tcW w:type="dxa" w:w="2086"/>
            <w:tcBorders>
              <w:top w:color="00000A" w:space="0" w:sz="6" w:val="single"/>
              <w:left w:color="00000A" w:space="0" w:sz="6" w:val="single"/>
              <w:bottom w:color="00000A" w:space="0" w:sz="6" w:val="double"/>
              <w:right w:color="00000A" w:space="0" w:sz="6" w:val="single"/>
            </w:tcBorders>
            <w:shd w:fill="E5E5E5" w:val="clear"/>
            <w:tcMar>
              <w:left w:type="dxa" w:w="53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PESO</w:t>
            </w:r>
          </w:p>
        </w:tc>
      </w:tr>
      <w:tr>
        <w:trPr>
          <w:cantSplit w:val="false"/>
        </w:trPr>
        <w:tc>
          <w:tcPr>
            <w:tcW w:type="dxa" w:w="4252"/>
            <w:tcBorders>
              <w:top w:val="none"/>
              <w:left w:color="00000A" w:space="0" w:sz="6" w:val="single"/>
              <w:bottom w:val="none"/>
              <w:right w:val="non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  <w:vertAlign w:val="superscript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Prova</w:t>
            </w:r>
          </w:p>
        </w:tc>
        <w:tc>
          <w:tcPr>
            <w:tcW w:type="dxa" w:w="2086"/>
            <w:tcBorders>
              <w:top w:val="none"/>
              <w:left w:color="00000A" w:space="0" w:sz="6" w:val="single"/>
              <w:bottom w:val="none"/>
              <w:right w:color="00000A" w:space="0" w:sz="6" w:val="singl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</w:rPr>
              <w:t>30%</w:t>
            </w:r>
          </w:p>
        </w:tc>
      </w:tr>
      <w:tr>
        <w:trPr>
          <w:cantSplit w:val="false"/>
        </w:trPr>
        <w:tc>
          <w:tcPr>
            <w:tcW w:type="dxa" w:w="4252"/>
            <w:tcBorders>
              <w:top w:val="none"/>
              <w:left w:color="00000A" w:space="0" w:sz="6" w:val="single"/>
              <w:bottom w:val="none"/>
              <w:right w:val="non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vertAlign w:val="superscript"/>
              </w:rPr>
              <w:t>a</w:t>
            </w:r>
            <w:r>
              <w:rPr>
                <w:rFonts w:ascii="Times New Roman" w:hAnsi="Times New Roman"/>
                <w:sz w:val="24"/>
              </w:rPr>
              <w:t xml:space="preserve"> Prova</w:t>
            </w:r>
          </w:p>
        </w:tc>
        <w:tc>
          <w:tcPr>
            <w:tcW w:type="dxa" w:w="2086"/>
            <w:tcBorders>
              <w:top w:val="none"/>
              <w:left w:color="00000A" w:space="0" w:sz="6" w:val="single"/>
              <w:bottom w:val="none"/>
              <w:right w:color="00000A" w:space="0" w:sz="6" w:val="singl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</w:rPr>
              <w:t>30%</w:t>
            </w:r>
          </w:p>
        </w:tc>
      </w:tr>
      <w:tr>
        <w:trPr>
          <w:cantSplit w:val="false"/>
        </w:trPr>
        <w:tc>
          <w:tcPr>
            <w:tcW w:type="dxa" w:w="4252"/>
            <w:tcBorders>
              <w:top w:val="none"/>
              <w:left w:color="00000A" w:space="0" w:sz="6" w:val="single"/>
              <w:bottom w:val="none"/>
              <w:right w:val="non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</w:rPr>
              <w:t>Trabalho</w:t>
            </w:r>
          </w:p>
        </w:tc>
        <w:tc>
          <w:tcPr>
            <w:tcW w:type="dxa" w:w="2086"/>
            <w:tcBorders>
              <w:top w:val="none"/>
              <w:left w:color="00000A" w:space="0" w:sz="6" w:val="single"/>
              <w:bottom w:val="none"/>
              <w:right w:color="00000A" w:space="0" w:sz="6" w:val="singl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</w:rPr>
              <w:t>30%</w:t>
            </w:r>
          </w:p>
        </w:tc>
      </w:tr>
      <w:tr>
        <w:trPr>
          <w:cantSplit w:val="false"/>
        </w:trPr>
        <w:tc>
          <w:tcPr>
            <w:tcW w:type="dxa" w:w="4252"/>
            <w:tcBorders>
              <w:top w:val="none"/>
              <w:left w:color="00000A" w:space="0" w:sz="6" w:val="single"/>
              <w:bottom w:color="00000A" w:space="0" w:sz="6" w:val="single"/>
              <w:right w:val="non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</w:rPr>
              <w:t>Participação (frequência e exercícios)</w:t>
            </w:r>
          </w:p>
        </w:tc>
        <w:tc>
          <w:tcPr>
            <w:tcW w:type="dxa" w:w="2086"/>
            <w:tcBorders>
              <w:top w:val="non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53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</w:tr>
    </w:tbl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spacing w:after="120" w:before="0"/>
        <w:contextualSpacing w:val="false"/>
        <w:jc w:val="both"/>
      </w:pPr>
      <w:r>
        <w:rPr/>
      </w:r>
    </w:p>
    <w:p>
      <w:pPr>
        <w:pStyle w:val="style0"/>
        <w:spacing w:after="120" w:before="0"/>
        <w:contextualSpacing w:val="false"/>
        <w:jc w:val="both"/>
      </w:pPr>
      <w:r>
        <w:rPr>
          <w:rFonts w:ascii="Times New Roman" w:hAnsi="Times New Roman"/>
          <w:b/>
          <w:sz w:val="24"/>
        </w:rPr>
        <w:t>7. ROTEIRO PARA DESENVOLVIMENTO DO TRABALHO</w:t>
      </w:r>
    </w:p>
    <w:p>
      <w:pPr>
        <w:pStyle w:val="style0"/>
        <w:ind w:firstLine="510" w:left="0" w:right="0"/>
        <w:jc w:val="both"/>
      </w:pPr>
      <w:r>
        <w:rPr>
          <w:rFonts w:ascii="Times New Roman" w:hAnsi="Times New Roman"/>
          <w:bCs/>
          <w:sz w:val="24"/>
        </w:rPr>
        <w:t>O trabalho deverá ser desenvolvido em equipe, com até 03 (três) componentes, que deverão visitar uma empresa. Na estrutura do trabalho deverá constar: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>Introdução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>Referencial teórico;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>Descrição da empresa, seus processos e produtos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>Roteiro para diagnóstico e caracterização do sistema de custo utilizado nas empresas visitadas;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>Análise crítica dos referidos sistemas, comparando-os com os princípios e métodos apresentados durante a disciplina;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 xml:space="preserve">Proposta com sugestão de melhorias para os sistemas analisados. </w:t>
      </w:r>
    </w:p>
    <w:p>
      <w:pPr>
        <w:pStyle w:val="style0"/>
        <w:numPr>
          <w:ilvl w:val="0"/>
          <w:numId w:val="1"/>
        </w:numPr>
        <w:jc w:val="both"/>
      </w:pPr>
      <w:r>
        <w:rPr>
          <w:rFonts w:ascii="Times New Roman" w:hAnsi="Times New Roman"/>
          <w:bCs/>
          <w:sz w:val="24"/>
        </w:rPr>
        <w:t>Conclusão</w:t>
      </w:r>
    </w:p>
    <w:p>
      <w:pPr>
        <w:pStyle w:val="style0"/>
        <w:jc w:val="both"/>
      </w:pPr>
      <w:r>
        <w:rPr/>
      </w:r>
    </w:p>
    <w:p>
      <w:pPr>
        <w:pStyle w:val="style0"/>
        <w:spacing w:after="120" w:before="0"/>
        <w:contextualSpacing w:val="false"/>
        <w:jc w:val="both"/>
      </w:pPr>
      <w:r>
        <w:rPr>
          <w:rFonts w:ascii="Times New Roman" w:hAnsi="Times New Roman"/>
          <w:b/>
          <w:sz w:val="24"/>
        </w:rPr>
        <w:t>8. BIBLIOGRAFIA</w:t>
      </w:r>
    </w:p>
    <w:p>
      <w:pPr>
        <w:pStyle w:val="style0"/>
        <w:spacing w:after="60" w:before="60"/>
        <w:contextualSpacing w:val="false"/>
        <w:jc w:val="both"/>
      </w:pPr>
      <w:r>
        <w:rPr>
          <w:rFonts w:ascii="Times New Roman" w:hAnsi="Times New Roman"/>
          <w:sz w:val="24"/>
        </w:rPr>
        <w:t xml:space="preserve">ALLORA, Valério e GANTZEL, Gerson. </w:t>
      </w:r>
      <w:r>
        <w:rPr>
          <w:rFonts w:ascii="Times New Roman" w:hAnsi="Times New Roman"/>
          <w:b/>
          <w:bCs/>
          <w:sz w:val="24"/>
        </w:rPr>
        <w:t xml:space="preserve">Revolução nos custos. </w:t>
      </w:r>
      <w:r>
        <w:rPr>
          <w:rFonts w:ascii="Times New Roman" w:hAnsi="Times New Roman"/>
          <w:sz w:val="24"/>
        </w:rPr>
        <w:t>Salvador: Casa da Qualidade, 1996.</w:t>
      </w:r>
    </w:p>
    <w:p>
      <w:pPr>
        <w:pStyle w:val="style0"/>
        <w:spacing w:after="60" w:before="60"/>
        <w:contextualSpacing w:val="false"/>
        <w:jc w:val="both"/>
      </w:pPr>
      <w:r>
        <w:rPr>
          <w:rFonts w:ascii="Times New Roman" w:hAnsi="Times New Roman"/>
          <w:sz w:val="24"/>
        </w:rPr>
        <w:t xml:space="preserve">BORNIA, Antonio Cezar. </w:t>
      </w:r>
      <w:r>
        <w:rPr>
          <w:rFonts w:ascii="Times New Roman" w:hAnsi="Times New Roman"/>
          <w:b/>
          <w:bCs/>
          <w:iCs/>
          <w:sz w:val="24"/>
        </w:rPr>
        <w:t>Análise gerencial de custos: aplicação em empresas modernas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3</w:t>
      </w:r>
      <w:r>
        <w:rPr>
          <w:rFonts w:ascii="Times New Roman" w:hAnsi="Times New Roman"/>
          <w:sz w:val="24"/>
          <w:vertAlign w:val="superscript"/>
        </w:rPr>
        <w:t>a</w:t>
      </w:r>
      <w:r>
        <w:rPr>
          <w:rFonts w:ascii="Times New Roman" w:hAnsi="Times New Roman"/>
          <w:sz w:val="24"/>
        </w:rPr>
        <w:t xml:space="preserve"> edição. São Paulo: Atlas, 2010.</w:t>
      </w:r>
    </w:p>
    <w:p>
      <w:pPr>
        <w:pStyle w:val="style0"/>
        <w:spacing w:after="60" w:before="60"/>
        <w:ind w:hanging="284" w:left="284" w:right="0"/>
        <w:contextualSpacing w:val="false"/>
        <w:jc w:val="both"/>
      </w:pPr>
      <w:r>
        <w:rPr>
          <w:rFonts w:ascii="Times New Roman" w:hAnsi="Times New Roman"/>
          <w:sz w:val="24"/>
        </w:rPr>
        <w:t xml:space="preserve">MARTINS, Eliseu. </w:t>
      </w:r>
      <w:r>
        <w:rPr>
          <w:rFonts w:ascii="Times New Roman" w:hAnsi="Times New Roman"/>
          <w:b/>
          <w:bCs/>
          <w:iCs/>
          <w:sz w:val="24"/>
        </w:rPr>
        <w:t>Contabilidade de custos.</w:t>
      </w:r>
      <w:r>
        <w:rPr>
          <w:rFonts w:ascii="Times New Roman" w:hAnsi="Times New Roman"/>
          <w:sz w:val="24"/>
        </w:rPr>
        <w:t xml:space="preserve"> 10</w:t>
      </w:r>
      <w:r>
        <w:rPr>
          <w:rFonts w:ascii="Times New Roman" w:hAnsi="Times New Roman"/>
          <w:sz w:val="24"/>
          <w:vertAlign w:val="superscript"/>
        </w:rPr>
        <w:t>a</w:t>
      </w:r>
      <w:r>
        <w:rPr>
          <w:rFonts w:ascii="Times New Roman" w:hAnsi="Times New Roman"/>
          <w:sz w:val="24"/>
        </w:rPr>
        <w:t xml:space="preserve"> edição. São Paulo: Atlas, 2010.</w:t>
      </w:r>
    </w:p>
    <w:p>
      <w:pPr>
        <w:pStyle w:val="style0"/>
        <w:spacing w:after="60" w:before="60"/>
        <w:ind w:hanging="284" w:left="284" w:right="0"/>
        <w:contextualSpacing w:val="false"/>
        <w:jc w:val="both"/>
      </w:pPr>
      <w:r>
        <w:rPr/>
      </w:r>
    </w:p>
    <w:p>
      <w:pPr>
        <w:pStyle w:val="style0"/>
        <w:spacing w:after="60" w:before="60"/>
        <w:ind w:hanging="284" w:left="284" w:right="0"/>
        <w:contextualSpacing w:val="false"/>
        <w:jc w:val="center"/>
      </w:pPr>
      <w:r>
        <w:rPr/>
      </w:r>
    </w:p>
    <w:tbl>
      <w:tblPr>
        <w:jc w:val="left"/>
        <w:tblInd w:type="dxa" w:w="-44"/>
        <w:tblBorders>
          <w:top w:color="00000A" w:space="0" w:sz="18" w:val="single"/>
          <w:left w:color="00000A" w:space="0" w:sz="18" w:val="single"/>
          <w:bottom w:color="00000A" w:space="0" w:sz="18" w:val="single"/>
          <w:insideH w:color="00000A" w:space="0" w:sz="18" w:val="single"/>
          <w:right w:val="none"/>
          <w:insideV w:val="none"/>
        </w:tblBorders>
        <w:tblCellMar>
          <w:top w:type="dxa" w:w="0"/>
          <w:left w:type="dxa" w:w="17"/>
          <w:bottom w:type="dxa" w:w="0"/>
          <w:right w:type="dxa" w:w="71"/>
        </w:tblCellMar>
      </w:tblPr>
      <w:tblGrid>
        <w:gridCol w:w="780"/>
        <w:gridCol w:w="551"/>
        <w:gridCol w:w="8805"/>
      </w:tblGrid>
      <w:tr>
        <w:trPr>
          <w:cantSplit w:val="false"/>
        </w:trPr>
        <w:tc>
          <w:tcPr>
            <w:tcW w:type="dxa" w:w="780"/>
            <w:tcBorders>
              <w:top w:color="00000A" w:space="0" w:sz="18" w:val="single"/>
              <w:left w:color="00000A" w:space="0" w:sz="18" w:val="single"/>
              <w:bottom w:color="00000A" w:space="0" w:sz="18" w:val="single"/>
              <w:right w:val="none"/>
            </w:tcBorders>
            <w:shd w:fill="FFFFFF" w:val="clear"/>
            <w:tcMar>
              <w:left w:type="dxa" w:w="17"/>
            </w:tcMar>
          </w:tcPr>
          <w:p>
            <w:pPr>
              <w:pStyle w:val="style0"/>
              <w:pageBreakBefore/>
              <w:spacing w:line="360" w:lineRule="auto"/>
              <w:jc w:val="center"/>
            </w:pPr>
            <w:r>
              <w:rPr/>
            </w:r>
          </w:p>
        </w:tc>
        <w:tc>
          <w:tcPr>
            <w:tcW w:type="dxa" w:w="551"/>
            <w:tcBorders>
              <w:top w:color="00000A" w:space="0" w:sz="18" w:val="single"/>
              <w:left w:val="none"/>
              <w:bottom w:color="00000A" w:space="0" w:sz="18" w:val="single"/>
              <w:right w:val="none"/>
            </w:tcBorders>
            <w:shd w:fill="FFFFFF" w:val="clear"/>
            <w:tcMar>
              <w:left w:type="dxa" w:w="85"/>
            </w:tcMar>
          </w:tcPr>
          <w:p>
            <w:pPr>
              <w:pStyle w:val="style0"/>
              <w:spacing w:line="360" w:lineRule="auto"/>
              <w:jc w:val="center"/>
            </w:pPr>
            <w:r>
              <w:rPr/>
            </w:r>
          </w:p>
        </w:tc>
        <w:tc>
          <w:tcPr>
            <w:tcW w:type="dxa" w:w="8805"/>
            <w:tcBorders>
              <w:top w:color="00000A" w:space="0" w:sz="18" w:val="single"/>
              <w:left w:val="none"/>
              <w:bottom w:color="00000A" w:space="0" w:sz="18" w:val="single"/>
              <w:right w:color="00000A" w:space="0" w:sz="18" w:val="single"/>
            </w:tcBorders>
            <w:shd w:fill="FFFFFF" w:val="clear"/>
            <w:tcMar>
              <w:left w:type="dxa" w:w="85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EPS 7018 – 2013/1 - quartas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18" w:val="single"/>
              <w:left w:color="00000A" w:space="0" w:sz="18" w:val="single"/>
              <w:bottom w:color="00000A" w:space="0" w:sz="18" w:val="single"/>
              <w:right w:color="00000A" w:space="0" w:sz="6" w:val="single"/>
            </w:tcBorders>
            <w:shd w:fill="FFFFFF" w:val="clear"/>
            <w:tcMar>
              <w:left w:type="dxa" w:w="17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Data</w:t>
            </w:r>
          </w:p>
        </w:tc>
        <w:tc>
          <w:tcPr>
            <w:tcW w:type="dxa" w:w="551"/>
            <w:tcBorders>
              <w:top w:color="00000A" w:space="0" w:sz="18" w:val="single"/>
              <w:left w:color="00000A" w:space="0" w:sz="6" w:val="single"/>
              <w:bottom w:color="00000A" w:space="0" w:sz="18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Dia</w:t>
            </w:r>
          </w:p>
        </w:tc>
        <w:tc>
          <w:tcPr>
            <w:tcW w:type="dxa" w:w="8805"/>
            <w:tcBorders>
              <w:top w:color="00000A" w:space="0" w:sz="18" w:val="single"/>
              <w:left w:color="00000A" w:space="0" w:sz="6" w:val="single"/>
              <w:bottom w:color="00000A" w:space="0" w:sz="18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Assunto Planejado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16/03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Programa  / Revisão de conceitos de contabilidade financeira / Conceitos fundamentais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00" w:val="clear"/>
              </w:rPr>
              <w:t>23/03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00" w:val="clear"/>
              </w:rPr>
              <w:t>2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00" w:val="clear"/>
              </w:rPr>
              <w:t>Emancipação de Florianópolis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30/03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Conceitos Fundamentais / Classificação de custos – princípios de custeio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06/04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Custeio por absorção ideal - mensuração de desperdícios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13/04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Análise de custo-volume-lucro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20/04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</w:rPr>
              <w:t>Custo Padrão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27/04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  <w:t>Revisão p/ prova – Entrega do primeiro relatório do trabalho (descrição da empresa)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04/05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/>
                <w:bCs/>
              </w:rPr>
              <w:t>Prova 1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11/05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  <w:lang w:val="pt-PT"/>
              </w:rPr>
              <w:t>Método dos centros de custos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00" w:val="clear"/>
              </w:rPr>
              <w:t>18/05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00" w:val="clear"/>
              </w:rPr>
              <w:t>10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shd w:fill="FFFF00" w:val="clear"/>
              </w:rPr>
              <w:t>Exercícios - RKW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25/05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11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</w:rPr>
              <w:t>Custeio baseado em atividades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01/06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12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  <w:t>Método da UEP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08/06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13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  <w:t xml:space="preserve">Revisão p/ prova 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15/06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/>
                <w:bCs/>
                <w:lang w:val="pt-PT"/>
              </w:rPr>
              <w:t>Prova 2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22/06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</w:rPr>
              <w:t>Entrega e apresentação de trabalhos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29/06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16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</w:rPr>
              <w:t xml:space="preserve">apresentação de trabalhos </w:t>
            </w:r>
          </w:p>
        </w:tc>
      </w:tr>
      <w:tr>
        <w:trPr>
          <w:trHeight w:hRule="atLeast" w:val="502"/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06/07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17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</w:rPr>
              <w:t>apresentação de trabalhos</w:t>
            </w:r>
          </w:p>
        </w:tc>
      </w:tr>
      <w:tr>
        <w:trPr>
          <w:trHeight w:hRule="atLeast" w:val="502"/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00" w:val="clear"/>
              </w:rPr>
              <w:t>13/07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00" w:val="clear"/>
              </w:rPr>
              <w:t>18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/>
                <w:shd w:fill="FFFF00" w:val="clear"/>
              </w:rPr>
              <w:t>Recuperação</w:t>
            </w:r>
          </w:p>
        </w:tc>
      </w:tr>
      <w:tr>
        <w:trPr>
          <w:trHeight w:hRule="atLeast" w:val="502"/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12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/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12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/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12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</w:r>
          </w:p>
        </w:tc>
      </w:tr>
    </w:tbl>
    <w:p>
      <w:pPr>
        <w:pStyle w:val="style0"/>
        <w:spacing w:after="60" w:before="60"/>
        <w:ind w:hanging="284" w:left="284" w:right="0"/>
        <w:contextualSpacing w:val="false"/>
        <w:jc w:val="center"/>
      </w:pPr>
      <w:r>
        <w:rPr/>
      </w:r>
    </w:p>
    <w:p>
      <w:pPr>
        <w:pStyle w:val="style0"/>
        <w:spacing w:after="60" w:before="60"/>
        <w:ind w:hanging="284" w:left="284" w:right="0"/>
        <w:contextualSpacing w:val="false"/>
        <w:jc w:val="center"/>
      </w:pPr>
      <w:r>
        <w:rPr/>
      </w:r>
    </w:p>
    <w:tbl>
      <w:tblPr>
        <w:jc w:val="left"/>
        <w:tblInd w:type="dxa" w:w="-44"/>
        <w:tblBorders>
          <w:top w:color="00000A" w:space="0" w:sz="18" w:val="single"/>
          <w:left w:color="00000A" w:space="0" w:sz="18" w:val="single"/>
          <w:bottom w:color="00000A" w:space="0" w:sz="18" w:val="single"/>
          <w:insideH w:color="00000A" w:space="0" w:sz="18" w:val="single"/>
          <w:right w:val="none"/>
          <w:insideV w:val="none"/>
        </w:tblBorders>
        <w:tblCellMar>
          <w:top w:type="dxa" w:w="0"/>
          <w:left w:type="dxa" w:w="17"/>
          <w:bottom w:type="dxa" w:w="0"/>
          <w:right w:type="dxa" w:w="71"/>
        </w:tblCellMar>
      </w:tblPr>
      <w:tblGrid>
        <w:gridCol w:w="780"/>
        <w:gridCol w:w="551"/>
        <w:gridCol w:w="8805"/>
      </w:tblGrid>
      <w:tr>
        <w:trPr>
          <w:cantSplit w:val="false"/>
        </w:trPr>
        <w:tc>
          <w:tcPr>
            <w:tcW w:type="dxa" w:w="780"/>
            <w:tcBorders>
              <w:top w:color="00000A" w:space="0" w:sz="18" w:val="single"/>
              <w:left w:color="00000A" w:space="0" w:sz="18" w:val="single"/>
              <w:bottom w:color="00000A" w:space="0" w:sz="18" w:val="single"/>
              <w:right w:val="none"/>
            </w:tcBorders>
            <w:shd w:fill="FFFFFF" w:val="clear"/>
            <w:tcMar>
              <w:left w:type="dxa" w:w="17"/>
            </w:tcMar>
          </w:tcPr>
          <w:p>
            <w:pPr>
              <w:pStyle w:val="style0"/>
              <w:pageBreakBefore/>
              <w:spacing w:line="360" w:lineRule="auto"/>
              <w:jc w:val="center"/>
            </w:pPr>
            <w:r>
              <w:rPr/>
            </w:r>
          </w:p>
        </w:tc>
        <w:tc>
          <w:tcPr>
            <w:tcW w:type="dxa" w:w="551"/>
            <w:tcBorders>
              <w:top w:color="00000A" w:space="0" w:sz="18" w:val="single"/>
              <w:left w:val="none"/>
              <w:bottom w:color="00000A" w:space="0" w:sz="18" w:val="single"/>
              <w:right w:val="none"/>
            </w:tcBorders>
            <w:shd w:fill="FFFFFF" w:val="clear"/>
            <w:tcMar>
              <w:left w:type="dxa" w:w="85"/>
            </w:tcMar>
          </w:tcPr>
          <w:p>
            <w:pPr>
              <w:pStyle w:val="style0"/>
              <w:spacing w:line="360" w:lineRule="auto"/>
              <w:jc w:val="center"/>
            </w:pPr>
            <w:r>
              <w:rPr/>
            </w:r>
          </w:p>
        </w:tc>
        <w:tc>
          <w:tcPr>
            <w:tcW w:type="dxa" w:w="8805"/>
            <w:tcBorders>
              <w:top w:color="00000A" w:space="0" w:sz="18" w:val="single"/>
              <w:left w:val="none"/>
              <w:bottom w:color="00000A" w:space="0" w:sz="18" w:val="single"/>
              <w:right w:color="00000A" w:space="0" w:sz="18" w:val="single"/>
            </w:tcBorders>
            <w:shd w:fill="FFFFFF" w:val="clear"/>
            <w:tcMar>
              <w:left w:type="dxa" w:w="85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EPS 7018 – 2013/1 - quintas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18" w:val="single"/>
              <w:left w:color="00000A" w:space="0" w:sz="18" w:val="single"/>
              <w:bottom w:color="00000A" w:space="0" w:sz="18" w:val="single"/>
              <w:right w:color="00000A" w:space="0" w:sz="6" w:val="single"/>
            </w:tcBorders>
            <w:shd w:fill="FFFFFF" w:val="clear"/>
            <w:tcMar>
              <w:left w:type="dxa" w:w="17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Data</w:t>
            </w:r>
          </w:p>
        </w:tc>
        <w:tc>
          <w:tcPr>
            <w:tcW w:type="dxa" w:w="551"/>
            <w:tcBorders>
              <w:top w:color="00000A" w:space="0" w:sz="18" w:val="single"/>
              <w:left w:color="00000A" w:space="0" w:sz="6" w:val="single"/>
              <w:bottom w:color="00000A" w:space="0" w:sz="18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Dia</w:t>
            </w:r>
          </w:p>
        </w:tc>
        <w:tc>
          <w:tcPr>
            <w:tcW w:type="dxa" w:w="8805"/>
            <w:tcBorders>
              <w:top w:color="00000A" w:space="0" w:sz="18" w:val="single"/>
              <w:left w:color="00000A" w:space="0" w:sz="6" w:val="single"/>
              <w:bottom w:color="00000A" w:space="0" w:sz="18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  <w:jc w:val="center"/>
            </w:pPr>
            <w:r>
              <w:rPr>
                <w:rFonts w:ascii="Times New Roman" w:hAnsi="Times New Roman"/>
                <w:sz w:val="24"/>
              </w:rPr>
              <w:t>Assunto Planejado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17/03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Programa  / Revisão de conceitos de contabilidade financeira / Conceitos fundamentais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66" w:val="clear"/>
              </w:rPr>
              <w:t>24/03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66" w:val="clear"/>
              </w:rPr>
              <w:t>2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66" w:val="clear"/>
              </w:rPr>
              <w:t>Emancipação de Florianópolis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31/03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Conceitos Fundamentais / Classificação de custos – princípios de custeio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07/04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Custeio por absorção ideal - mensuração de desperdícios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14/04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Análise de custo-volume-lucro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66" w:val="clear"/>
              </w:rPr>
              <w:t>21/04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FFFF66" w:val="clear"/>
              </w:rPr>
              <w:t>6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  <w:shd w:fill="FFFF66" w:val="clear"/>
                <w:lang w:val="pt-BR"/>
              </w:rPr>
              <w:t>Feriado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auto" w:val="clear"/>
              </w:rPr>
              <w:t>2</w:t>
            </w:r>
            <w:r>
              <w:rPr>
                <w:rFonts w:ascii="Times New Roman" w:hAnsi="Times New Roman"/>
                <w:sz w:val="24"/>
                <w:shd w:fill="auto" w:val="clear"/>
              </w:rPr>
              <w:t>8</w:t>
            </w:r>
            <w:r>
              <w:rPr>
                <w:rFonts w:ascii="Times New Roman" w:hAnsi="Times New Roman"/>
                <w:sz w:val="24"/>
                <w:shd w:fill="auto" w:val="clear"/>
              </w:rPr>
              <w:t>/04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  <w:shd w:fill="auto" w:val="clear"/>
              </w:rPr>
              <w:t>7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  <w:shd w:fill="auto" w:val="clear"/>
              </w:rPr>
              <w:t>Custo Padrão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/0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  <w:t>Revisão p/ prova – Entrega do primeiro relatório do trabalho (descrição da empresa)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12</w:t>
            </w:r>
            <w:r>
              <w:rPr>
                <w:rFonts w:ascii="Times New Roman" w:hAnsi="Times New Roman"/>
                <w:bCs/>
                <w:sz w:val="24"/>
              </w:rPr>
              <w:t>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/>
                <w:bCs/>
              </w:rPr>
              <w:t>Prova 1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9</w:t>
            </w:r>
            <w:r>
              <w:rPr>
                <w:rFonts w:ascii="Times New Roman" w:hAnsi="Times New Roman"/>
                <w:bCs/>
                <w:sz w:val="24"/>
              </w:rPr>
              <w:t>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10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  <w:lang w:val="pt-PT"/>
              </w:rPr>
              <w:t>Método dos centros de custos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66" w:val="clear"/>
              </w:rPr>
              <w:t>26/05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66" w:val="clear"/>
              </w:rPr>
              <w:t>11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bookmarkStart w:id="0" w:name="__DdeLink__507_1920531258"/>
            <w:bookmarkEnd w:id="0"/>
            <w:r>
              <w:rPr>
                <w:bCs/>
                <w:shd w:fill="FFFF66" w:val="clear"/>
                <w:lang w:val="pt-BR"/>
              </w:rPr>
              <w:t>Feriado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auto" w:val="clear"/>
              </w:rPr>
              <w:t>02</w:t>
            </w:r>
            <w:r>
              <w:rPr>
                <w:rFonts w:ascii="Times New Roman" w:hAnsi="Times New Roman"/>
                <w:bCs/>
                <w:sz w:val="24"/>
                <w:shd w:fill="auto" w:val="clear"/>
              </w:rPr>
              <w:t>/0</w:t>
            </w:r>
            <w:r>
              <w:rPr>
                <w:rFonts w:ascii="Times New Roman" w:hAnsi="Times New Roman"/>
                <w:bCs/>
                <w:sz w:val="24"/>
                <w:shd w:fill="auto" w:val="clear"/>
              </w:rPr>
              <w:t>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auto" w:val="clear"/>
              </w:rPr>
              <w:t>1</w:t>
            </w:r>
            <w:r>
              <w:rPr>
                <w:rFonts w:ascii="Times New Roman" w:hAnsi="Times New Roman"/>
                <w:bCs/>
                <w:sz w:val="24"/>
                <w:shd w:fill="auto" w:val="clear"/>
              </w:rPr>
              <w:t>2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shd w:fill="auto" w:val="clear"/>
              </w:rPr>
              <w:t>Exercícios - RKW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auto" w:val="clear"/>
              </w:rPr>
              <w:t>09</w:t>
            </w:r>
            <w:r>
              <w:rPr>
                <w:rFonts w:ascii="Times New Roman" w:hAnsi="Times New Roman"/>
                <w:bCs/>
                <w:sz w:val="24"/>
                <w:shd w:fill="auto" w:val="clear"/>
              </w:rPr>
              <w:t>/0</w:t>
            </w:r>
            <w:r>
              <w:rPr>
                <w:rFonts w:ascii="Times New Roman" w:hAnsi="Times New Roman"/>
                <w:bCs/>
                <w:sz w:val="24"/>
                <w:shd w:fill="auto" w:val="clear"/>
              </w:rPr>
              <w:t>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auto" w:val="clear"/>
              </w:rPr>
              <w:t>1</w:t>
            </w:r>
            <w:r>
              <w:rPr>
                <w:rFonts w:ascii="Times New Roman" w:hAnsi="Times New Roman"/>
                <w:bCs/>
                <w:sz w:val="24"/>
                <w:shd w:fill="auto" w:val="clear"/>
              </w:rPr>
              <w:t>3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  <w:shd w:fill="auto" w:val="clear"/>
              </w:rPr>
              <w:t>Custeio baseado em atividades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16</w:t>
            </w:r>
            <w:r>
              <w:rPr>
                <w:rFonts w:ascii="Times New Roman" w:hAnsi="Times New Roman"/>
                <w:bCs/>
                <w:sz w:val="24"/>
              </w:rPr>
              <w:t>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  <w:t>Método da UEP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23</w:t>
            </w:r>
            <w:r>
              <w:rPr>
                <w:rFonts w:ascii="Times New Roman" w:hAnsi="Times New Roman"/>
                <w:bCs/>
                <w:sz w:val="24"/>
              </w:rPr>
              <w:t>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  <w:t xml:space="preserve">Revisão p/ prova </w:t>
            </w:r>
          </w:p>
        </w:tc>
      </w:tr>
      <w:tr>
        <w:trPr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/06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/>
                <w:bCs/>
                <w:lang w:val="pt-PT"/>
              </w:rPr>
              <w:t>Prova 2</w:t>
            </w:r>
          </w:p>
        </w:tc>
      </w:tr>
      <w:tr>
        <w:trPr>
          <w:trHeight w:hRule="atLeast" w:val="502"/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07/07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</w:rPr>
              <w:t>17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Cs/>
              </w:rPr>
              <w:t>apresentação de trabalhos</w:t>
            </w:r>
          </w:p>
        </w:tc>
      </w:tr>
      <w:tr>
        <w:trPr>
          <w:trHeight w:hRule="atLeast" w:val="502"/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00" w:val="clear"/>
              </w:rPr>
              <w:t>14/07</w:t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hAnsi="Times New Roman"/>
                <w:bCs/>
                <w:sz w:val="24"/>
                <w:shd w:fill="FFFF00" w:val="clear"/>
              </w:rPr>
              <w:t>18</w:t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>
                <w:b/>
                <w:shd w:fill="FFFF00" w:val="clear"/>
              </w:rPr>
              <w:t>Recuperação</w:t>
            </w:r>
          </w:p>
        </w:tc>
      </w:tr>
      <w:tr>
        <w:trPr>
          <w:trHeight w:hRule="atLeast" w:val="502"/>
          <w:cantSplit w:val="false"/>
        </w:trPr>
        <w:tc>
          <w:tcPr>
            <w:tcW w:type="dxa" w:w="780"/>
            <w:tcBorders>
              <w:top w:color="00000A" w:space="0" w:sz="6" w:val="single"/>
              <w:left w:color="00000A" w:space="0" w:sz="12" w:val="single"/>
              <w:bottom w:color="00000A" w:space="0" w:sz="12" w:val="single"/>
              <w:right w:color="00000A" w:space="0" w:sz="6" w:val="single"/>
            </w:tcBorders>
            <w:shd w:fill="FFFFFF" w:val="clear"/>
            <w:tcMar>
              <w:left w:type="dxa" w:w="41"/>
            </w:tcMar>
          </w:tcPr>
          <w:p>
            <w:pPr>
              <w:pStyle w:val="style0"/>
              <w:spacing w:line="360" w:lineRule="auto"/>
            </w:pPr>
            <w:r>
              <w:rPr/>
            </w:r>
          </w:p>
        </w:tc>
        <w:tc>
          <w:tcPr>
            <w:tcW w:type="dxa" w:w="551"/>
            <w:tcBorders>
              <w:top w:color="00000A" w:space="0" w:sz="6" w:val="single"/>
              <w:left w:color="00000A" w:space="0" w:sz="6" w:val="single"/>
              <w:bottom w:color="00000A" w:space="0" w:sz="12" w:val="single"/>
              <w:right w:color="00000A" w:space="0" w:sz="6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0"/>
              <w:spacing w:line="360" w:lineRule="auto"/>
            </w:pPr>
            <w:r>
              <w:rPr/>
            </w:r>
          </w:p>
        </w:tc>
        <w:tc>
          <w:tcPr>
            <w:tcW w:type="dxa" w:w="8805"/>
            <w:tcBorders>
              <w:top w:color="00000A" w:space="0" w:sz="6" w:val="single"/>
              <w:left w:color="00000A" w:space="0" w:sz="6" w:val="single"/>
              <w:bottom w:color="00000A" w:space="0" w:sz="12" w:val="single"/>
              <w:right w:color="00000A" w:space="0" w:sz="18" w:val="single"/>
            </w:tcBorders>
            <w:shd w:fill="FFFFFF" w:val="clear"/>
            <w:tcMar>
              <w:left w:type="dxa" w:w="62"/>
            </w:tcMar>
          </w:tcPr>
          <w:p>
            <w:pPr>
              <w:pStyle w:val="style2"/>
              <w:spacing w:after="0" w:before="0" w:line="360" w:lineRule="auto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998" w:footer="0" w:gutter="0" w:header="0" w:left="851" w:right="851" w:top="851"/>
      <w:pgNumType w:fmt="decimal"/>
      <w:formProt w:val="false"/>
      <w:titlePg/>
      <w:textDirection w:val="lrTb"/>
      <w:docGrid w:charSpace="24576" w:linePitch="32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Roman PS">
    <w:charset w:val="0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870" w:val="num"/>
        </w:tabs>
        <w:ind w:hanging="360" w:left="870"/>
      </w:pPr>
      <w:rPr>
        <w:rFonts w:ascii="Symbol" w:cs="Symbol" w:hAnsi="Symbol" w:hint="default"/>
      </w:rPr>
    </w:lvl>
    <w:lvl w:ilvl="1">
      <w:start w:val="1"/>
      <w:numFmt w:val="lowerLetter"/>
      <w:lvlText w:val="%2."/>
      <w:lvlJc w:val="left"/>
      <w:pPr>
        <w:tabs>
          <w:tab w:pos="1590" w:val="num"/>
        </w:tabs>
        <w:ind w:hanging="360" w:left="1590"/>
      </w:pPr>
    </w:lvl>
    <w:lvl w:ilvl="2">
      <w:start w:val="1"/>
      <w:numFmt w:val="lowerRoman"/>
      <w:lvlText w:val="%3."/>
      <w:lvlJc w:val="right"/>
      <w:pPr>
        <w:tabs>
          <w:tab w:pos="2310" w:val="num"/>
        </w:tabs>
        <w:ind w:hanging="180" w:left="2310"/>
      </w:pPr>
    </w:lvl>
    <w:lvl w:ilvl="3">
      <w:start w:val="1"/>
      <w:numFmt w:val="decimal"/>
      <w:lvlText w:val="%4."/>
      <w:lvlJc w:val="left"/>
      <w:pPr>
        <w:tabs>
          <w:tab w:pos="3030" w:val="num"/>
        </w:tabs>
        <w:ind w:hanging="360" w:left="3030"/>
      </w:pPr>
    </w:lvl>
    <w:lvl w:ilvl="4">
      <w:start w:val="1"/>
      <w:numFmt w:val="lowerLetter"/>
      <w:lvlText w:val="%5."/>
      <w:lvlJc w:val="left"/>
      <w:pPr>
        <w:tabs>
          <w:tab w:pos="3750" w:val="num"/>
        </w:tabs>
        <w:ind w:hanging="360" w:left="3750"/>
      </w:pPr>
    </w:lvl>
    <w:lvl w:ilvl="5">
      <w:start w:val="1"/>
      <w:numFmt w:val="lowerRoman"/>
      <w:lvlText w:val="%6."/>
      <w:lvlJc w:val="right"/>
      <w:pPr>
        <w:tabs>
          <w:tab w:pos="4470" w:val="num"/>
        </w:tabs>
        <w:ind w:hanging="180" w:left="4470"/>
      </w:pPr>
    </w:lvl>
    <w:lvl w:ilvl="6">
      <w:start w:val="1"/>
      <w:numFmt w:val="decimal"/>
      <w:lvlText w:val="%7."/>
      <w:lvlJc w:val="left"/>
      <w:pPr>
        <w:tabs>
          <w:tab w:pos="5190" w:val="num"/>
        </w:tabs>
        <w:ind w:hanging="360" w:left="5190"/>
      </w:pPr>
    </w:lvl>
    <w:lvl w:ilvl="7">
      <w:start w:val="1"/>
      <w:numFmt w:val="lowerLetter"/>
      <w:lvlText w:val="%8."/>
      <w:lvlJc w:val="left"/>
      <w:pPr>
        <w:tabs>
          <w:tab w:pos="5910" w:val="num"/>
        </w:tabs>
        <w:ind w:hanging="360" w:left="5910"/>
      </w:pPr>
    </w:lvl>
    <w:lvl w:ilvl="8">
      <w:start w:val="1"/>
      <w:numFmt w:val="lowerRoman"/>
      <w:lvlText w:val="%9."/>
      <w:lvlJc w:val="right"/>
      <w:pPr>
        <w:tabs>
          <w:tab w:pos="6630" w:val="num"/>
        </w:tabs>
        <w:ind w:hanging="180" w:left="663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</w:pPr>
    <w:rPr>
      <w:rFonts w:ascii="Roman PS" w:cs="Times New Roman" w:eastAsia="Times New Roman" w:hAnsi="Roman PS"/>
      <w:color w:val="00000A"/>
      <w:sz w:val="20"/>
      <w:szCs w:val="20"/>
      <w:lang w:bidi="ar-SA" w:eastAsia="pt-BR" w:val="pt-PT"/>
    </w:rPr>
  </w:style>
  <w:style w:styleId="style1" w:type="paragraph">
    <w:name w:val="Heading 1"/>
    <w:basedOn w:val="style0"/>
    <w:next w:val="style1"/>
    <w:pPr>
      <w:keepNext/>
      <w:jc w:val="both"/>
    </w:pPr>
    <w:rPr>
      <w:rFonts w:ascii="Times New Roman" w:hAnsi="Times New Roman"/>
      <w:b/>
      <w:sz w:val="24"/>
    </w:rPr>
  </w:style>
  <w:style w:styleId="style2" w:type="paragraph">
    <w:name w:val="Heading 2"/>
    <w:basedOn w:val="style0"/>
    <w:next w:val="style2"/>
    <w:pPr>
      <w:keepNext/>
      <w:spacing w:after="120" w:before="0"/>
      <w:contextualSpacing w:val="false"/>
    </w:pPr>
    <w:rPr>
      <w:rFonts w:ascii="Times New Roman" w:hAnsi="Times New Roman"/>
      <w:sz w:val="24"/>
      <w:lang w:val="pt-BR"/>
    </w:rPr>
  </w:style>
  <w:style w:styleId="style3" w:type="paragraph">
    <w:name w:val="Heading 3"/>
    <w:basedOn w:val="style0"/>
    <w:next w:val="style3"/>
    <w:pPr>
      <w:keepNext/>
      <w:spacing w:line="360" w:lineRule="auto"/>
    </w:pPr>
    <w:rPr>
      <w:rFonts w:ascii="Times New Roman" w:hAnsi="Times New Roman"/>
      <w:color w:val="FF0000"/>
      <w:sz w:val="24"/>
      <w:lang w:val="pt-BR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b/>
    </w:rPr>
  </w:style>
  <w:style w:styleId="style17" w:type="character">
    <w:name w:val="ListLabel 2"/>
    <w:next w:val="style17"/>
    <w:rPr>
      <w:rFonts w:cs="Symbol"/>
    </w:rPr>
  </w:style>
  <w:style w:styleId="style18" w:type="character">
    <w:name w:val="ListLabel 3"/>
    <w:next w:val="style18"/>
    <w:rPr>
      <w:rFonts w:cs="Symbol"/>
    </w:rPr>
  </w:style>
  <w:style w:styleId="style19" w:type="paragraph">
    <w:name w:val="Heading"/>
    <w:basedOn w:val="style0"/>
    <w:next w:val="style2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0" w:type="paragraph">
    <w:name w:val="Text Body"/>
    <w:basedOn w:val="style0"/>
    <w:next w:val="style20"/>
    <w:pPr>
      <w:spacing w:after="120" w:before="0"/>
      <w:contextualSpacing w:val="false"/>
    </w:pPr>
    <w:rPr/>
  </w:style>
  <w:style w:styleId="style21" w:type="paragraph">
    <w:name w:val="List"/>
    <w:basedOn w:val="style20"/>
    <w:next w:val="style21"/>
    <w:pPr/>
    <w:rPr>
      <w:rFonts w:cs="Mangal"/>
    </w:rPr>
  </w:style>
  <w:style w:styleId="style22" w:type="paragraph">
    <w:name w:val="Caption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Index"/>
    <w:basedOn w:val="style0"/>
    <w:next w:val="style23"/>
    <w:pPr>
      <w:suppressLineNumbers/>
    </w:pPr>
    <w:rPr>
      <w:rFonts w:cs="Mangal"/>
    </w:rPr>
  </w:style>
  <w:style w:styleId="style24" w:type="paragraph">
    <w:name w:val="Text Body Indent"/>
    <w:basedOn w:val="style0"/>
    <w:next w:val="style24"/>
    <w:pPr/>
    <w:rPr>
      <w:rFonts w:ascii="Times New Roman" w:hAnsi="Times New Roman"/>
      <w:sz w:val="22"/>
      <w:szCs w:val="22"/>
      <w:lang w:val="pt-BR"/>
    </w:rPr>
  </w:style>
  <w:style w:styleId="style25" w:type="paragraph">
    <w:name w:val="Body Text Indent 2"/>
    <w:basedOn w:val="style0"/>
    <w:next w:val="style25"/>
    <w:pPr>
      <w:ind w:firstLine="720" w:left="0" w:right="0"/>
      <w:jc w:val="both"/>
    </w:pPr>
    <w:rPr>
      <w:rFonts w:ascii="Times New Roman" w:hAnsi="Times New Roman"/>
      <w:sz w:val="24"/>
    </w:rPr>
  </w:style>
  <w:style w:styleId="style26" w:type="paragraph">
    <w:name w:val="Table Contents"/>
    <w:basedOn w:val="style0"/>
    <w:next w:val="style26"/>
    <w:pPr/>
    <w:rPr/>
  </w:style>
  <w:style w:styleId="style27" w:type="paragraph">
    <w:name w:val="Table Heading"/>
    <w:basedOn w:val="style26"/>
    <w:next w:val="style2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2015-11-24T09:26:00.00Z</dcterms:created>
  <dc:creator>LEA</dc:creator>
  <cp:lastModifiedBy>ACB</cp:lastModifiedBy>
  <cp:lastPrinted>2006-09-06T19:09:00.00Z</cp:lastPrinted>
  <dcterms:modified xsi:type="dcterms:W3CDTF">2016-03-01T13:42:00.00Z</dcterms:modified>
  <cp:revision>9</cp:revision>
  <dc:title>UNIVERSIDADE FEDERAL DE SANTA CATARINA</dc:title>
</cp:coreProperties>
</file>